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1E81" w14:textId="48544E8D" w:rsidR="00353EDC" w:rsidRPr="008D3F18" w:rsidRDefault="00A558F7" w:rsidP="008B39D2">
      <w:pPr>
        <w:pBdr>
          <w:top w:val="single" w:sz="4" w:space="1" w:color="auto"/>
          <w:left w:val="single" w:sz="4" w:space="4" w:color="auto"/>
          <w:bottom w:val="single" w:sz="4" w:space="1" w:color="auto"/>
          <w:right w:val="single" w:sz="4" w:space="4" w:color="auto"/>
        </w:pBdr>
        <w:shd w:val="clear" w:color="auto" w:fill="F3D4F8"/>
        <w:jc w:val="center"/>
        <w:rPr>
          <w:b/>
          <w:bCs/>
          <w:color w:val="2F5496" w:themeColor="accent1" w:themeShade="BF"/>
          <w:sz w:val="40"/>
          <w:szCs w:val="40"/>
          <w:lang w:val="en-GB"/>
        </w:rPr>
      </w:pPr>
      <w:r w:rsidRPr="008D3F18">
        <w:rPr>
          <w:b/>
          <w:bCs/>
          <w:color w:val="2F5496" w:themeColor="accent1" w:themeShade="BF"/>
          <w:sz w:val="40"/>
          <w:szCs w:val="40"/>
          <w:lang w:val="en-GB"/>
        </w:rPr>
        <w:t>S</w:t>
      </w:r>
      <w:r w:rsidR="00AE3915" w:rsidRPr="008D3F18">
        <w:rPr>
          <w:b/>
          <w:bCs/>
          <w:color w:val="2F5496" w:themeColor="accent1" w:themeShade="BF"/>
          <w:sz w:val="40"/>
          <w:szCs w:val="40"/>
          <w:lang w:val="en-GB"/>
        </w:rPr>
        <w:t xml:space="preserve">tatutory </w:t>
      </w:r>
      <w:r w:rsidRPr="008D3F18">
        <w:rPr>
          <w:b/>
          <w:bCs/>
          <w:color w:val="2F5496" w:themeColor="accent1" w:themeShade="BF"/>
          <w:sz w:val="40"/>
          <w:szCs w:val="40"/>
          <w:lang w:val="en-GB"/>
        </w:rPr>
        <w:t>F</w:t>
      </w:r>
      <w:r w:rsidR="00AE3915" w:rsidRPr="008D3F18">
        <w:rPr>
          <w:b/>
          <w:bCs/>
          <w:color w:val="2F5496" w:themeColor="accent1" w:themeShade="BF"/>
          <w:sz w:val="40"/>
          <w:szCs w:val="40"/>
          <w:lang w:val="en-GB"/>
        </w:rPr>
        <w:t xml:space="preserve">amily </w:t>
      </w:r>
      <w:r w:rsidRPr="008D3F18">
        <w:rPr>
          <w:b/>
          <w:bCs/>
          <w:color w:val="2F5496" w:themeColor="accent1" w:themeShade="BF"/>
          <w:sz w:val="40"/>
          <w:szCs w:val="40"/>
          <w:lang w:val="en-GB"/>
        </w:rPr>
        <w:t>L</w:t>
      </w:r>
      <w:r w:rsidR="00AE3915" w:rsidRPr="008D3F18">
        <w:rPr>
          <w:b/>
          <w:bCs/>
          <w:color w:val="2F5496" w:themeColor="accent1" w:themeShade="BF"/>
          <w:sz w:val="40"/>
          <w:szCs w:val="40"/>
          <w:lang w:val="en-GB"/>
        </w:rPr>
        <w:t xml:space="preserve">eave </w:t>
      </w:r>
    </w:p>
    <w:tbl>
      <w:tblPr>
        <w:tblStyle w:val="TableGrid"/>
        <w:tblW w:w="9067" w:type="dxa"/>
        <w:tblLook w:val="04A0" w:firstRow="1" w:lastRow="0" w:firstColumn="1" w:lastColumn="0" w:noHBand="0" w:noVBand="1"/>
      </w:tblPr>
      <w:tblGrid>
        <w:gridCol w:w="2330"/>
        <w:gridCol w:w="1913"/>
        <w:gridCol w:w="4824"/>
      </w:tblGrid>
      <w:tr w:rsidR="00554E19" w14:paraId="38AF6431" w14:textId="77777777" w:rsidTr="72B07DA2">
        <w:tc>
          <w:tcPr>
            <w:tcW w:w="2330" w:type="dxa"/>
          </w:tcPr>
          <w:p w14:paraId="5AD305FF" w14:textId="1F8297F4" w:rsidR="00554E19" w:rsidRPr="00C73AB9" w:rsidRDefault="00554E19">
            <w:pPr>
              <w:rPr>
                <w:b/>
                <w:bCs/>
                <w:color w:val="000000" w:themeColor="text1"/>
                <w:sz w:val="24"/>
                <w:szCs w:val="24"/>
                <w:lang w:val="en-GB"/>
              </w:rPr>
            </w:pPr>
            <w:r w:rsidRPr="00C73AB9">
              <w:rPr>
                <w:b/>
                <w:bCs/>
                <w:color w:val="000000" w:themeColor="text1"/>
                <w:sz w:val="24"/>
                <w:szCs w:val="24"/>
                <w:lang w:val="en-GB"/>
              </w:rPr>
              <w:t>Legislation</w:t>
            </w:r>
          </w:p>
        </w:tc>
        <w:tc>
          <w:tcPr>
            <w:tcW w:w="1913" w:type="dxa"/>
          </w:tcPr>
          <w:p w14:paraId="113C5529" w14:textId="1AFA1276" w:rsidR="00554E19" w:rsidRPr="00C73AB9" w:rsidRDefault="00554E19">
            <w:pPr>
              <w:rPr>
                <w:b/>
                <w:bCs/>
                <w:color w:val="000000" w:themeColor="text1"/>
                <w:sz w:val="24"/>
                <w:szCs w:val="24"/>
                <w:lang w:val="en-GB"/>
              </w:rPr>
            </w:pPr>
            <w:r w:rsidRPr="00C73AB9">
              <w:rPr>
                <w:b/>
                <w:bCs/>
                <w:color w:val="000000" w:themeColor="text1"/>
                <w:sz w:val="24"/>
                <w:szCs w:val="24"/>
                <w:lang w:val="en-GB"/>
              </w:rPr>
              <w:t>Who is entitled to it?</w:t>
            </w:r>
          </w:p>
        </w:tc>
        <w:tc>
          <w:tcPr>
            <w:tcW w:w="4824" w:type="dxa"/>
          </w:tcPr>
          <w:p w14:paraId="6C99DBA1" w14:textId="0CBC8C62" w:rsidR="00554E19" w:rsidRPr="00C73AB9" w:rsidRDefault="00554E19">
            <w:pPr>
              <w:rPr>
                <w:b/>
                <w:bCs/>
                <w:color w:val="000000" w:themeColor="text1"/>
                <w:sz w:val="24"/>
                <w:szCs w:val="24"/>
                <w:lang w:val="en-GB"/>
              </w:rPr>
            </w:pPr>
            <w:r w:rsidRPr="00C73AB9">
              <w:rPr>
                <w:b/>
                <w:bCs/>
                <w:color w:val="000000" w:themeColor="text1"/>
                <w:sz w:val="24"/>
                <w:szCs w:val="24"/>
                <w:lang w:val="en-GB"/>
              </w:rPr>
              <w:t>Statutory Entitlement</w:t>
            </w:r>
          </w:p>
        </w:tc>
      </w:tr>
      <w:tr w:rsidR="00554E19" w14:paraId="5F19FB61" w14:textId="77777777" w:rsidTr="00356A2E">
        <w:tc>
          <w:tcPr>
            <w:tcW w:w="2330" w:type="dxa"/>
            <w:shd w:val="clear" w:color="auto" w:fill="DEEFF2"/>
          </w:tcPr>
          <w:p w14:paraId="265212EC" w14:textId="2ED90FFE" w:rsidR="00554E19" w:rsidRPr="00F85092" w:rsidRDefault="00554E19">
            <w:pPr>
              <w:rPr>
                <w:color w:val="000000" w:themeColor="text1"/>
                <w:lang w:val="en-GB"/>
              </w:rPr>
            </w:pPr>
            <w:r w:rsidRPr="00F85092">
              <w:rPr>
                <w:color w:val="000000" w:themeColor="text1"/>
                <w:lang w:val="en-GB"/>
              </w:rPr>
              <w:t xml:space="preserve">Maternity Protection Acts 1994 </w:t>
            </w:r>
            <w:r w:rsidR="00D23B19">
              <w:rPr>
                <w:color w:val="000000" w:themeColor="text1"/>
                <w:lang w:val="en-GB"/>
              </w:rPr>
              <w:t>&amp;</w:t>
            </w:r>
            <w:r w:rsidRPr="00F85092">
              <w:rPr>
                <w:color w:val="000000" w:themeColor="text1"/>
                <w:lang w:val="en-GB"/>
              </w:rPr>
              <w:t xml:space="preserve"> 2004</w:t>
            </w:r>
          </w:p>
        </w:tc>
        <w:tc>
          <w:tcPr>
            <w:tcW w:w="1913" w:type="dxa"/>
            <w:shd w:val="clear" w:color="auto" w:fill="DEEFF2"/>
          </w:tcPr>
          <w:p w14:paraId="3C14B852" w14:textId="7F040359" w:rsidR="00554E19" w:rsidRPr="00F85092" w:rsidRDefault="00554E19">
            <w:pPr>
              <w:rPr>
                <w:color w:val="000000" w:themeColor="text1"/>
                <w:lang w:val="en-GB"/>
              </w:rPr>
            </w:pPr>
            <w:r>
              <w:rPr>
                <w:color w:val="000000" w:themeColor="text1"/>
                <w:lang w:val="en-GB"/>
              </w:rPr>
              <w:t>Female employees</w:t>
            </w:r>
          </w:p>
        </w:tc>
        <w:tc>
          <w:tcPr>
            <w:tcW w:w="4824" w:type="dxa"/>
            <w:shd w:val="clear" w:color="auto" w:fill="DEEFF2"/>
          </w:tcPr>
          <w:p w14:paraId="2189BA80" w14:textId="4C428511" w:rsidR="00554E19" w:rsidRDefault="00554E19">
            <w:pPr>
              <w:rPr>
                <w:color w:val="000000" w:themeColor="text1"/>
                <w:lang w:val="en-GB"/>
              </w:rPr>
            </w:pPr>
            <w:r w:rsidRPr="00490A50">
              <w:rPr>
                <w:b/>
                <w:bCs/>
                <w:color w:val="000000" w:themeColor="text1"/>
                <w:lang w:val="en-GB"/>
              </w:rPr>
              <w:t>26 weeks</w:t>
            </w:r>
            <w:r w:rsidRPr="00F85092">
              <w:rPr>
                <w:color w:val="000000" w:themeColor="text1"/>
                <w:lang w:val="en-GB"/>
              </w:rPr>
              <w:t xml:space="preserve"> paid leave (</w:t>
            </w:r>
            <w:r>
              <w:rPr>
                <w:color w:val="000000" w:themeColor="text1"/>
                <w:lang w:val="en-GB"/>
              </w:rPr>
              <w:t>Maternity Benefit</w:t>
            </w:r>
            <w:r w:rsidR="00B52D52">
              <w:rPr>
                <w:color w:val="000000" w:themeColor="text1"/>
                <w:lang w:val="en-GB"/>
              </w:rPr>
              <w:t xml:space="preserve"> paid by the State</w:t>
            </w:r>
            <w:r w:rsidRPr="00F85092">
              <w:rPr>
                <w:color w:val="000000" w:themeColor="text1"/>
                <w:lang w:val="en-GB"/>
              </w:rPr>
              <w:t>) plus an additional 16 weeks</w:t>
            </w:r>
            <w:r w:rsidR="00700991">
              <w:rPr>
                <w:color w:val="000000" w:themeColor="text1"/>
                <w:lang w:val="en-GB"/>
              </w:rPr>
              <w:t>’</w:t>
            </w:r>
            <w:r w:rsidRPr="00F85092">
              <w:rPr>
                <w:color w:val="000000" w:themeColor="text1"/>
                <w:lang w:val="en-GB"/>
              </w:rPr>
              <w:t xml:space="preserve"> unpaid leave</w:t>
            </w:r>
            <w:r>
              <w:rPr>
                <w:color w:val="000000" w:themeColor="text1"/>
                <w:lang w:val="en-GB"/>
              </w:rPr>
              <w:t>.</w:t>
            </w:r>
          </w:p>
          <w:p w14:paraId="2C2DA098" w14:textId="365E1DF0" w:rsidR="00554E19" w:rsidRPr="00F85092" w:rsidRDefault="00554E19" w:rsidP="72B07DA2">
            <w:pPr>
              <w:rPr>
                <w:color w:val="000000" w:themeColor="text1"/>
                <w:lang w:val="en-GB"/>
              </w:rPr>
            </w:pPr>
            <w:r w:rsidRPr="72B07DA2">
              <w:rPr>
                <w:color w:val="000000" w:themeColor="text1"/>
                <w:lang w:val="en-GB"/>
              </w:rPr>
              <w:t>No minimum service required.</w:t>
            </w:r>
          </w:p>
          <w:p w14:paraId="35ACB73C" w14:textId="34F32DD0" w:rsidR="00554E19" w:rsidRPr="00F85092" w:rsidRDefault="336C60FC" w:rsidP="72B07DA2">
            <w:pPr>
              <w:rPr>
                <w:color w:val="000000" w:themeColor="text1"/>
                <w:lang w:val="en-GB"/>
              </w:rPr>
            </w:pPr>
            <w:r w:rsidRPr="72B07DA2">
              <w:rPr>
                <w:color w:val="000000" w:themeColor="text1"/>
                <w:lang w:val="en-GB"/>
              </w:rPr>
              <w:t>In the event of premature birth, the 26 weeks will be extended by an additional period of leave</w:t>
            </w:r>
          </w:p>
        </w:tc>
      </w:tr>
      <w:tr w:rsidR="00554E19" w14:paraId="51011618" w14:textId="77777777" w:rsidTr="00356A2E">
        <w:tc>
          <w:tcPr>
            <w:tcW w:w="2330" w:type="dxa"/>
            <w:shd w:val="clear" w:color="auto" w:fill="F4B083" w:themeFill="accent2" w:themeFillTint="99"/>
          </w:tcPr>
          <w:p w14:paraId="2328E14B" w14:textId="5BACEAA4" w:rsidR="00554E19" w:rsidRPr="00F85092" w:rsidRDefault="00554E19">
            <w:pPr>
              <w:rPr>
                <w:color w:val="000000" w:themeColor="text1"/>
                <w:lang w:val="en-GB"/>
              </w:rPr>
            </w:pPr>
            <w:r w:rsidRPr="00F85092">
              <w:rPr>
                <w:color w:val="000000" w:themeColor="text1"/>
                <w:lang w:val="en-GB"/>
              </w:rPr>
              <w:t>Adoptive Leave Acts 1995 &amp; 2005</w:t>
            </w:r>
            <w:r w:rsidR="00474C89">
              <w:rPr>
                <w:color w:val="000000" w:themeColor="text1"/>
                <w:lang w:val="en-GB"/>
              </w:rPr>
              <w:t xml:space="preserve"> </w:t>
            </w:r>
            <w:r w:rsidR="00474C89">
              <w:t>and Family Leave and Miscellaneous Provisions Act 2021</w:t>
            </w:r>
          </w:p>
        </w:tc>
        <w:tc>
          <w:tcPr>
            <w:tcW w:w="1913" w:type="dxa"/>
            <w:shd w:val="clear" w:color="auto" w:fill="F4B083" w:themeFill="accent2" w:themeFillTint="99"/>
          </w:tcPr>
          <w:p w14:paraId="6E61637C" w14:textId="579AC875" w:rsidR="00554E19" w:rsidRPr="00F85092" w:rsidRDefault="00675C5C">
            <w:pPr>
              <w:rPr>
                <w:color w:val="000000" w:themeColor="text1"/>
                <w:lang w:val="en-GB"/>
              </w:rPr>
            </w:pPr>
            <w:r>
              <w:rPr>
                <w:color w:val="000000" w:themeColor="text1"/>
                <w:lang w:val="en-GB"/>
              </w:rPr>
              <w:t>One parent of adoptive couple</w:t>
            </w:r>
            <w:r w:rsidR="00CF11C3">
              <w:rPr>
                <w:color w:val="000000" w:themeColor="text1"/>
                <w:lang w:val="en-GB"/>
              </w:rPr>
              <w:t xml:space="preserve"> or a parent who is adopting alone</w:t>
            </w:r>
          </w:p>
        </w:tc>
        <w:tc>
          <w:tcPr>
            <w:tcW w:w="4824" w:type="dxa"/>
            <w:shd w:val="clear" w:color="auto" w:fill="F4B083" w:themeFill="accent2" w:themeFillTint="99"/>
          </w:tcPr>
          <w:p w14:paraId="718038C2" w14:textId="553AE122" w:rsidR="00554E19" w:rsidRDefault="00554E19">
            <w:pPr>
              <w:rPr>
                <w:color w:val="000000" w:themeColor="text1"/>
                <w:lang w:val="en-GB"/>
              </w:rPr>
            </w:pPr>
            <w:r w:rsidRPr="72B07DA2">
              <w:rPr>
                <w:b/>
                <w:bCs/>
                <w:color w:val="000000" w:themeColor="text1"/>
                <w:lang w:val="en-GB"/>
              </w:rPr>
              <w:t>2</w:t>
            </w:r>
            <w:r w:rsidR="008910C3" w:rsidRPr="72B07DA2">
              <w:rPr>
                <w:b/>
                <w:bCs/>
                <w:color w:val="000000" w:themeColor="text1"/>
                <w:lang w:val="en-GB"/>
              </w:rPr>
              <w:t>4</w:t>
            </w:r>
            <w:r w:rsidRPr="72B07DA2">
              <w:rPr>
                <w:b/>
                <w:bCs/>
                <w:color w:val="000000" w:themeColor="text1"/>
                <w:lang w:val="en-GB"/>
              </w:rPr>
              <w:t xml:space="preserve"> weeks</w:t>
            </w:r>
            <w:r w:rsidRPr="72B07DA2">
              <w:rPr>
                <w:color w:val="000000" w:themeColor="text1"/>
                <w:lang w:val="en-GB"/>
              </w:rPr>
              <w:t xml:space="preserve"> paid leave (Adoptive Benefit</w:t>
            </w:r>
            <w:r w:rsidR="043CA516" w:rsidRPr="72B07DA2">
              <w:rPr>
                <w:color w:val="000000" w:themeColor="text1"/>
                <w:lang w:val="en-GB"/>
              </w:rPr>
              <w:t xml:space="preserve"> paid by the State</w:t>
            </w:r>
            <w:r w:rsidRPr="72B07DA2">
              <w:rPr>
                <w:color w:val="000000" w:themeColor="text1"/>
                <w:lang w:val="en-GB"/>
              </w:rPr>
              <w:t>) plus an additional 16 weeks</w:t>
            </w:r>
            <w:r w:rsidR="00893431" w:rsidRPr="72B07DA2">
              <w:rPr>
                <w:color w:val="000000" w:themeColor="text1"/>
                <w:lang w:val="en-GB"/>
              </w:rPr>
              <w:t>’</w:t>
            </w:r>
            <w:r w:rsidRPr="72B07DA2">
              <w:rPr>
                <w:color w:val="000000" w:themeColor="text1"/>
                <w:lang w:val="en-GB"/>
              </w:rPr>
              <w:t xml:space="preserve"> unpaid leave.</w:t>
            </w:r>
          </w:p>
          <w:p w14:paraId="7257AC5F" w14:textId="5A361A66" w:rsidR="00554E19" w:rsidRPr="00F85092" w:rsidRDefault="00554E19">
            <w:pPr>
              <w:rPr>
                <w:color w:val="000000" w:themeColor="text1"/>
                <w:lang w:val="en-GB"/>
              </w:rPr>
            </w:pPr>
            <w:r>
              <w:rPr>
                <w:color w:val="000000" w:themeColor="text1"/>
                <w:lang w:val="en-GB"/>
              </w:rPr>
              <w:t>No minimum service required.</w:t>
            </w:r>
          </w:p>
        </w:tc>
      </w:tr>
      <w:tr w:rsidR="00554E19" w14:paraId="048E00E9" w14:textId="77777777" w:rsidTr="00356A2E">
        <w:tc>
          <w:tcPr>
            <w:tcW w:w="2330" w:type="dxa"/>
            <w:shd w:val="clear" w:color="auto" w:fill="F8F8D4"/>
          </w:tcPr>
          <w:p w14:paraId="5F4514A0" w14:textId="7C52F07A" w:rsidR="00554E19" w:rsidRPr="00F85092" w:rsidRDefault="00554E19">
            <w:pPr>
              <w:rPr>
                <w:color w:val="000000" w:themeColor="text1"/>
                <w:lang w:val="en-GB"/>
              </w:rPr>
            </w:pPr>
            <w:r w:rsidRPr="00F85092">
              <w:rPr>
                <w:color w:val="000000" w:themeColor="text1"/>
                <w:lang w:val="en-GB"/>
              </w:rPr>
              <w:t>Paternity Leave &amp; Benefit Act 2016</w:t>
            </w:r>
          </w:p>
        </w:tc>
        <w:tc>
          <w:tcPr>
            <w:tcW w:w="1913" w:type="dxa"/>
            <w:shd w:val="clear" w:color="auto" w:fill="F8F8D4"/>
          </w:tcPr>
          <w:p w14:paraId="12C8611A" w14:textId="152638D9" w:rsidR="00554E19" w:rsidRPr="00F85092" w:rsidRDefault="00554E19">
            <w:pPr>
              <w:rPr>
                <w:color w:val="000000" w:themeColor="text1"/>
                <w:lang w:val="en-GB"/>
              </w:rPr>
            </w:pPr>
            <w:r>
              <w:rPr>
                <w:color w:val="000000" w:themeColor="text1"/>
                <w:lang w:val="en-GB"/>
              </w:rPr>
              <w:t>New parents of children under 6 months (but not the mother of the child)</w:t>
            </w:r>
          </w:p>
        </w:tc>
        <w:tc>
          <w:tcPr>
            <w:tcW w:w="4824" w:type="dxa"/>
            <w:shd w:val="clear" w:color="auto" w:fill="F8F8D4"/>
          </w:tcPr>
          <w:p w14:paraId="643017AB" w14:textId="26C55E26" w:rsidR="00554E19" w:rsidRDefault="00554E19">
            <w:pPr>
              <w:rPr>
                <w:color w:val="000000" w:themeColor="text1"/>
                <w:lang w:val="en-GB"/>
              </w:rPr>
            </w:pPr>
            <w:r w:rsidRPr="72B07DA2">
              <w:rPr>
                <w:b/>
                <w:bCs/>
                <w:color w:val="000000" w:themeColor="text1"/>
                <w:lang w:val="en-GB"/>
              </w:rPr>
              <w:t>2 consecutive weeks</w:t>
            </w:r>
            <w:r w:rsidRPr="72B07DA2">
              <w:rPr>
                <w:color w:val="000000" w:themeColor="text1"/>
                <w:lang w:val="en-GB"/>
              </w:rPr>
              <w:t xml:space="preserve"> paid leave (Paternity Benefit</w:t>
            </w:r>
            <w:r w:rsidR="24DB3356" w:rsidRPr="72B07DA2">
              <w:rPr>
                <w:color w:val="000000" w:themeColor="text1"/>
                <w:lang w:val="en-GB"/>
              </w:rPr>
              <w:t xml:space="preserve"> paid by the State)</w:t>
            </w:r>
            <w:r w:rsidRPr="72B07DA2">
              <w:rPr>
                <w:color w:val="000000" w:themeColor="text1"/>
                <w:lang w:val="en-GB"/>
              </w:rPr>
              <w:t>.</w:t>
            </w:r>
          </w:p>
          <w:p w14:paraId="5189940A" w14:textId="77777777" w:rsidR="00554E19" w:rsidRDefault="00554E19">
            <w:pPr>
              <w:rPr>
                <w:color w:val="000000" w:themeColor="text1"/>
                <w:lang w:val="en-GB"/>
              </w:rPr>
            </w:pPr>
            <w:r w:rsidRPr="00F85092">
              <w:rPr>
                <w:color w:val="000000" w:themeColor="text1"/>
                <w:lang w:val="en-GB"/>
              </w:rPr>
              <w:t>The leave must be taken within 26 weeks of the child’s birth/placement.</w:t>
            </w:r>
          </w:p>
          <w:p w14:paraId="0B581B71" w14:textId="77777777" w:rsidR="00554E19" w:rsidRDefault="00554E19">
            <w:pPr>
              <w:rPr>
                <w:color w:val="000000" w:themeColor="text1"/>
                <w:lang w:val="en-GB"/>
              </w:rPr>
            </w:pPr>
            <w:r>
              <w:rPr>
                <w:color w:val="000000" w:themeColor="text1"/>
                <w:lang w:val="en-GB"/>
              </w:rPr>
              <w:t>No minimum service required.</w:t>
            </w:r>
          </w:p>
          <w:p w14:paraId="78352599" w14:textId="6E1D0691" w:rsidR="00572327" w:rsidRPr="00DE3D85" w:rsidRDefault="00572327" w:rsidP="00DE3D85">
            <w:pPr>
              <w:autoSpaceDE w:val="0"/>
              <w:autoSpaceDN w:val="0"/>
              <w:adjustRightInd w:val="0"/>
              <w:rPr>
                <w:rFonts w:cstheme="minorHAnsi"/>
                <w:color w:val="000000"/>
              </w:rPr>
            </w:pPr>
            <w:r w:rsidRPr="00DE3D85">
              <w:rPr>
                <w:rFonts w:cstheme="minorHAnsi"/>
                <w:color w:val="000000"/>
              </w:rPr>
              <w:t>An employee may postpone the leave in limited circumstances.</w:t>
            </w:r>
          </w:p>
        </w:tc>
      </w:tr>
      <w:tr w:rsidR="002E143B" w14:paraId="63D976D5" w14:textId="77777777" w:rsidTr="00356A2E">
        <w:tc>
          <w:tcPr>
            <w:tcW w:w="2330" w:type="dxa"/>
            <w:shd w:val="clear" w:color="auto" w:fill="F3D4F8"/>
          </w:tcPr>
          <w:p w14:paraId="1B588E2F" w14:textId="21F446A5" w:rsidR="002E143B" w:rsidRDefault="003559C9">
            <w:pPr>
              <w:rPr>
                <w:color w:val="000000" w:themeColor="text1"/>
                <w:lang w:val="en-GB"/>
              </w:rPr>
            </w:pPr>
            <w:r>
              <w:rPr>
                <w:color w:val="000000" w:themeColor="text1"/>
                <w:lang w:val="en-GB"/>
              </w:rPr>
              <w:t>Parent’s Leave</w:t>
            </w:r>
            <w:r w:rsidR="000C42D1">
              <w:rPr>
                <w:color w:val="000000" w:themeColor="text1"/>
                <w:lang w:val="en-GB"/>
              </w:rPr>
              <w:t xml:space="preserve"> &amp; Benefit Act 2019</w:t>
            </w:r>
          </w:p>
          <w:p w14:paraId="3346E6CF" w14:textId="5644DE7E" w:rsidR="00895557" w:rsidRDefault="00895557">
            <w:pPr>
              <w:rPr>
                <w:color w:val="000000" w:themeColor="text1"/>
                <w:lang w:val="en-GB"/>
              </w:rPr>
            </w:pPr>
            <w:r>
              <w:t>and Family Leave and Miscellaneous Provisions Act 2021</w:t>
            </w:r>
          </w:p>
          <w:p w14:paraId="2A9D59DF" w14:textId="77777777" w:rsidR="002E143B" w:rsidRDefault="002E143B">
            <w:pPr>
              <w:rPr>
                <w:color w:val="000000" w:themeColor="text1"/>
                <w:lang w:val="en-GB"/>
              </w:rPr>
            </w:pPr>
          </w:p>
          <w:p w14:paraId="5D37D5B0" w14:textId="77777777" w:rsidR="002E143B" w:rsidRDefault="002E143B">
            <w:pPr>
              <w:rPr>
                <w:color w:val="000000" w:themeColor="text1"/>
                <w:lang w:val="en-GB"/>
              </w:rPr>
            </w:pPr>
          </w:p>
          <w:p w14:paraId="2341A490" w14:textId="77777777" w:rsidR="002E143B" w:rsidRDefault="002E143B">
            <w:pPr>
              <w:rPr>
                <w:color w:val="000000" w:themeColor="text1"/>
                <w:lang w:val="en-GB"/>
              </w:rPr>
            </w:pPr>
          </w:p>
          <w:p w14:paraId="134166F2" w14:textId="77777777" w:rsidR="002E143B" w:rsidRDefault="002E143B">
            <w:pPr>
              <w:rPr>
                <w:color w:val="000000" w:themeColor="text1"/>
                <w:lang w:val="en-GB"/>
              </w:rPr>
            </w:pPr>
          </w:p>
          <w:p w14:paraId="4478397F" w14:textId="77777777" w:rsidR="002E143B" w:rsidRDefault="002E143B">
            <w:pPr>
              <w:rPr>
                <w:color w:val="000000" w:themeColor="text1"/>
                <w:lang w:val="en-GB"/>
              </w:rPr>
            </w:pPr>
          </w:p>
          <w:p w14:paraId="3BB5515B" w14:textId="77777777" w:rsidR="002E143B" w:rsidRDefault="002E143B">
            <w:pPr>
              <w:rPr>
                <w:color w:val="000000" w:themeColor="text1"/>
                <w:lang w:val="en-GB"/>
              </w:rPr>
            </w:pPr>
          </w:p>
          <w:p w14:paraId="1BC0988D" w14:textId="534290AE" w:rsidR="002E143B" w:rsidRPr="00F85092" w:rsidRDefault="002E143B">
            <w:pPr>
              <w:rPr>
                <w:color w:val="000000" w:themeColor="text1"/>
                <w:lang w:val="en-GB"/>
              </w:rPr>
            </w:pPr>
          </w:p>
        </w:tc>
        <w:tc>
          <w:tcPr>
            <w:tcW w:w="1913" w:type="dxa"/>
            <w:shd w:val="clear" w:color="auto" w:fill="F3D4F8"/>
          </w:tcPr>
          <w:p w14:paraId="43CAD314" w14:textId="1B646F64" w:rsidR="009A73D9" w:rsidRDefault="001A5694" w:rsidP="009A73D9">
            <w:pPr>
              <w:rPr>
                <w:b/>
                <w:bCs/>
                <w:lang w:val="en-GB"/>
              </w:rPr>
            </w:pPr>
            <w:r>
              <w:rPr>
                <w:lang w:val="en-GB"/>
              </w:rPr>
              <w:t xml:space="preserve">Each </w:t>
            </w:r>
            <w:r w:rsidR="00333A94">
              <w:rPr>
                <w:lang w:val="en-GB"/>
              </w:rPr>
              <w:t>‘</w:t>
            </w:r>
            <w:r>
              <w:rPr>
                <w:lang w:val="en-GB"/>
              </w:rPr>
              <w:t>relevant parent</w:t>
            </w:r>
            <w:r w:rsidR="00333A94">
              <w:rPr>
                <w:lang w:val="en-GB"/>
              </w:rPr>
              <w:t>’</w:t>
            </w:r>
            <w:r>
              <w:rPr>
                <w:lang w:val="en-GB"/>
              </w:rPr>
              <w:t xml:space="preserve"> of a child</w:t>
            </w:r>
          </w:p>
          <w:p w14:paraId="7DF7691D" w14:textId="439DA089" w:rsidR="00333A94" w:rsidRDefault="00333A94" w:rsidP="72B07DA2">
            <w:pPr>
              <w:rPr>
                <w:lang w:val="en-GB"/>
              </w:rPr>
            </w:pPr>
            <w:r>
              <w:t xml:space="preserve">An employee must come within the definition of a “relevant parent”. The leave must be taken within </w:t>
            </w:r>
            <w:r w:rsidR="6FD81254">
              <w:t xml:space="preserve">2 years </w:t>
            </w:r>
            <w:r>
              <w:t>of the child’s birth/placement.</w:t>
            </w:r>
          </w:p>
          <w:p w14:paraId="46A91E3B" w14:textId="3553F9AE" w:rsidR="00D43277" w:rsidRDefault="00D43277" w:rsidP="001D24EA">
            <w:pPr>
              <w:rPr>
                <w:color w:val="000000" w:themeColor="text1"/>
                <w:lang w:val="en-GB"/>
              </w:rPr>
            </w:pPr>
          </w:p>
        </w:tc>
        <w:tc>
          <w:tcPr>
            <w:tcW w:w="4824" w:type="dxa"/>
            <w:shd w:val="clear" w:color="auto" w:fill="F3D4F8"/>
          </w:tcPr>
          <w:p w14:paraId="73CD6441" w14:textId="2FDA917B" w:rsidR="003203E5" w:rsidRPr="003203E5" w:rsidRDefault="00893C70" w:rsidP="72B07DA2">
            <w:pPr>
              <w:pStyle w:val="Default"/>
              <w:rPr>
                <w:spacing w:val="3"/>
                <w:sz w:val="20"/>
                <w:szCs w:val="20"/>
                <w:lang w:eastAsia="en-IE"/>
              </w:rPr>
            </w:pPr>
            <w:r w:rsidRPr="72B07DA2">
              <w:rPr>
                <w:b/>
                <w:bCs/>
                <w:sz w:val="20"/>
                <w:szCs w:val="20"/>
              </w:rPr>
              <w:t>7</w:t>
            </w:r>
            <w:r w:rsidR="00035261" w:rsidRPr="72B07DA2">
              <w:rPr>
                <w:b/>
                <w:bCs/>
                <w:sz w:val="20"/>
                <w:szCs w:val="20"/>
              </w:rPr>
              <w:t xml:space="preserve"> </w:t>
            </w:r>
            <w:r w:rsidR="003559C9" w:rsidRPr="72B07DA2">
              <w:rPr>
                <w:b/>
                <w:bCs/>
                <w:sz w:val="20"/>
                <w:szCs w:val="20"/>
              </w:rPr>
              <w:t>weeks</w:t>
            </w:r>
            <w:r w:rsidR="003559C9" w:rsidRPr="72B07DA2">
              <w:rPr>
                <w:sz w:val="20"/>
                <w:szCs w:val="20"/>
              </w:rPr>
              <w:t xml:space="preserve"> paid leave (</w:t>
            </w:r>
            <w:r w:rsidR="00763CCF" w:rsidRPr="72B07DA2">
              <w:rPr>
                <w:sz w:val="20"/>
                <w:szCs w:val="20"/>
              </w:rPr>
              <w:t>Parent’s Benefit</w:t>
            </w:r>
            <w:r w:rsidR="00A3365D">
              <w:rPr>
                <w:sz w:val="20"/>
                <w:szCs w:val="20"/>
              </w:rPr>
              <w:t xml:space="preserve"> paid </w:t>
            </w:r>
            <w:r w:rsidR="00B52D52">
              <w:rPr>
                <w:sz w:val="20"/>
                <w:szCs w:val="20"/>
              </w:rPr>
              <w:t>by the State)</w:t>
            </w:r>
            <w:r w:rsidR="003559C9" w:rsidRPr="72B07DA2">
              <w:rPr>
                <w:sz w:val="20"/>
                <w:szCs w:val="20"/>
              </w:rPr>
              <w:t xml:space="preserve">. </w:t>
            </w:r>
          </w:p>
          <w:p w14:paraId="0E17EF45" w14:textId="7423A45D" w:rsidR="003559C9" w:rsidRDefault="00506A26" w:rsidP="00506A26">
            <w:pPr>
              <w:rPr>
                <w:lang w:val="en-GB"/>
              </w:rPr>
            </w:pPr>
            <w:r w:rsidRPr="005E5717">
              <w:rPr>
                <w:lang w:val="en-GB"/>
              </w:rPr>
              <w:t xml:space="preserve">The leave may be taken in a </w:t>
            </w:r>
            <w:r w:rsidR="0064789C">
              <w:rPr>
                <w:lang w:val="en-GB"/>
              </w:rPr>
              <w:t>7</w:t>
            </w:r>
            <w:r w:rsidR="007C09B0">
              <w:rPr>
                <w:lang w:val="en-GB"/>
              </w:rPr>
              <w:t>-</w:t>
            </w:r>
            <w:r w:rsidRPr="005E5717">
              <w:rPr>
                <w:lang w:val="en-GB"/>
              </w:rPr>
              <w:t>week period or in separate periods of no less than one week.</w:t>
            </w:r>
          </w:p>
          <w:p w14:paraId="6520B0F7" w14:textId="433A83E3" w:rsidR="001D24EA" w:rsidRDefault="4F2A84ED" w:rsidP="72B07DA2">
            <w:pPr>
              <w:rPr>
                <w:sz w:val="20"/>
                <w:szCs w:val="20"/>
              </w:rPr>
            </w:pPr>
            <w:r w:rsidRPr="72B07DA2">
              <w:rPr>
                <w:sz w:val="20"/>
                <w:szCs w:val="20"/>
              </w:rPr>
              <w:t>A</w:t>
            </w:r>
            <w:r w:rsidR="001D24EA" w:rsidRPr="72B07DA2">
              <w:rPr>
                <w:sz w:val="20"/>
                <w:szCs w:val="20"/>
              </w:rPr>
              <w:t xml:space="preserve">n employee must come within the definition of a “relevant parent”. </w:t>
            </w:r>
          </w:p>
          <w:p w14:paraId="2653C4F2" w14:textId="77777777" w:rsidR="00E7736E" w:rsidRDefault="00E7736E" w:rsidP="00E7736E">
            <w:pPr>
              <w:pStyle w:val="Default"/>
              <w:rPr>
                <w:sz w:val="20"/>
                <w:szCs w:val="20"/>
              </w:rPr>
            </w:pPr>
            <w:r>
              <w:rPr>
                <w:sz w:val="20"/>
                <w:szCs w:val="20"/>
              </w:rPr>
              <w:t xml:space="preserve">No minimum service required. </w:t>
            </w:r>
          </w:p>
          <w:p w14:paraId="60F9A26F" w14:textId="1C3A18E8" w:rsidR="00425D92" w:rsidRPr="00E7736E" w:rsidRDefault="00425D92" w:rsidP="00E7736E">
            <w:pPr>
              <w:pStyle w:val="Default"/>
              <w:rPr>
                <w:sz w:val="20"/>
                <w:szCs w:val="20"/>
              </w:rPr>
            </w:pPr>
            <w:r>
              <w:rPr>
                <w:sz w:val="20"/>
                <w:szCs w:val="20"/>
              </w:rPr>
              <w:t xml:space="preserve">An employer may postpone the leave for up to 12 weeks in limited circumstances. </w:t>
            </w:r>
          </w:p>
        </w:tc>
      </w:tr>
      <w:tr w:rsidR="00554E19" w14:paraId="76E4FEBE" w14:textId="77777777" w:rsidTr="00356A2E">
        <w:tc>
          <w:tcPr>
            <w:tcW w:w="2330" w:type="dxa"/>
            <w:shd w:val="clear" w:color="auto" w:fill="DEEAF6" w:themeFill="accent5" w:themeFillTint="33"/>
          </w:tcPr>
          <w:p w14:paraId="432A35FA" w14:textId="52342EA6" w:rsidR="00554E19" w:rsidRPr="00F85092" w:rsidRDefault="00554E19">
            <w:pPr>
              <w:rPr>
                <w:color w:val="000000" w:themeColor="text1"/>
                <w:lang w:val="en-GB"/>
              </w:rPr>
            </w:pPr>
            <w:r w:rsidRPr="00F85092">
              <w:rPr>
                <w:color w:val="000000" w:themeColor="text1"/>
                <w:lang w:val="en-GB"/>
              </w:rPr>
              <w:t>Parental Leave Acts 1998 to 2019</w:t>
            </w:r>
          </w:p>
        </w:tc>
        <w:tc>
          <w:tcPr>
            <w:tcW w:w="1913" w:type="dxa"/>
            <w:shd w:val="clear" w:color="auto" w:fill="DEEAF6" w:themeFill="accent5" w:themeFillTint="33"/>
          </w:tcPr>
          <w:p w14:paraId="7BA0F879" w14:textId="77777777" w:rsidR="00554E19" w:rsidRDefault="00554E19">
            <w:pPr>
              <w:rPr>
                <w:color w:val="000000" w:themeColor="text1"/>
                <w:lang w:val="en-GB"/>
              </w:rPr>
            </w:pPr>
            <w:r>
              <w:rPr>
                <w:color w:val="000000" w:themeColor="text1"/>
                <w:lang w:val="en-GB"/>
              </w:rPr>
              <w:t>Parents and guardians of children under 12</w:t>
            </w:r>
            <w:r w:rsidR="00141BE8">
              <w:rPr>
                <w:color w:val="000000" w:themeColor="text1"/>
                <w:lang w:val="en-GB"/>
              </w:rPr>
              <w:t>.</w:t>
            </w:r>
          </w:p>
          <w:p w14:paraId="75006D2C" w14:textId="4BBF1E0C" w:rsidR="00141BE8" w:rsidRPr="00F85092" w:rsidRDefault="00141BE8">
            <w:pPr>
              <w:rPr>
                <w:color w:val="000000" w:themeColor="text1"/>
                <w:lang w:val="en-GB"/>
              </w:rPr>
            </w:pPr>
            <w:r>
              <w:t>(16 if the child has a disability or long-term illness).</w:t>
            </w:r>
          </w:p>
        </w:tc>
        <w:tc>
          <w:tcPr>
            <w:tcW w:w="4824" w:type="dxa"/>
            <w:shd w:val="clear" w:color="auto" w:fill="DEEAF6" w:themeFill="accent5" w:themeFillTint="33"/>
          </w:tcPr>
          <w:p w14:paraId="3844245E" w14:textId="203626C0" w:rsidR="00554E19" w:rsidRDefault="00554E19">
            <w:pPr>
              <w:rPr>
                <w:color w:val="000000" w:themeColor="text1"/>
                <w:lang w:val="en-GB"/>
              </w:rPr>
            </w:pPr>
            <w:r w:rsidRPr="00490A50">
              <w:rPr>
                <w:b/>
                <w:bCs/>
                <w:color w:val="000000" w:themeColor="text1"/>
                <w:lang w:val="en-GB"/>
              </w:rPr>
              <w:t>2</w:t>
            </w:r>
            <w:r w:rsidR="007C246C" w:rsidRPr="00490A50">
              <w:rPr>
                <w:b/>
                <w:bCs/>
                <w:color w:val="000000" w:themeColor="text1"/>
                <w:lang w:val="en-GB"/>
              </w:rPr>
              <w:t>6</w:t>
            </w:r>
            <w:r w:rsidRPr="00490A50">
              <w:rPr>
                <w:b/>
                <w:bCs/>
                <w:color w:val="000000" w:themeColor="text1"/>
                <w:lang w:val="en-GB"/>
              </w:rPr>
              <w:t xml:space="preserve"> weeks</w:t>
            </w:r>
            <w:r w:rsidR="007C246C">
              <w:rPr>
                <w:color w:val="000000" w:themeColor="text1"/>
                <w:lang w:val="en-GB"/>
              </w:rPr>
              <w:t xml:space="preserve"> </w:t>
            </w:r>
            <w:r w:rsidRPr="00F85092">
              <w:rPr>
                <w:color w:val="000000" w:themeColor="text1"/>
                <w:lang w:val="en-GB"/>
              </w:rPr>
              <w:t>unpaid leave per child under the age of 12 (16 if the child has a disability or long-term illness</w:t>
            </w:r>
            <w:r w:rsidR="007C246C">
              <w:rPr>
                <w:color w:val="000000" w:themeColor="text1"/>
                <w:lang w:val="en-GB"/>
              </w:rPr>
              <w:t>)</w:t>
            </w:r>
            <w:r>
              <w:rPr>
                <w:color w:val="000000" w:themeColor="text1"/>
                <w:lang w:val="en-GB"/>
              </w:rPr>
              <w:t>.</w:t>
            </w:r>
          </w:p>
          <w:p w14:paraId="39DEF9AE" w14:textId="1E6F3DF9" w:rsidR="00554E19" w:rsidRDefault="00554E19">
            <w:pPr>
              <w:rPr>
                <w:color w:val="000000" w:themeColor="text1"/>
                <w:lang w:val="en-GB"/>
              </w:rPr>
            </w:pPr>
            <w:r>
              <w:rPr>
                <w:color w:val="000000" w:themeColor="text1"/>
                <w:lang w:val="en-GB"/>
              </w:rPr>
              <w:t>One year’s continuous service required.</w:t>
            </w:r>
          </w:p>
          <w:p w14:paraId="456581C6" w14:textId="2E3BCCED" w:rsidR="00E62AE2" w:rsidRPr="0081021A" w:rsidRDefault="003F4C16" w:rsidP="0081021A">
            <w:pPr>
              <w:rPr>
                <w:color w:val="000000" w:themeColor="text1"/>
                <w:lang w:val="en-GB"/>
              </w:rPr>
            </w:pPr>
            <w:r>
              <w:t>The 26 weeks per child may be taken in one continuous period or in two separate blocks of a minimum of six weeks. There must be a gap of at least 10 weeks between the two periods of leave. If an employer agrees the leave can be separated into shorter periods. An employer may postpone the leave for up to 6 months in limited circumstances.</w:t>
            </w:r>
          </w:p>
        </w:tc>
      </w:tr>
      <w:tr w:rsidR="00554E19" w14:paraId="64660ECE" w14:textId="77777777" w:rsidTr="72B07DA2">
        <w:tc>
          <w:tcPr>
            <w:tcW w:w="2330" w:type="dxa"/>
            <w:shd w:val="clear" w:color="auto" w:fill="C5E0B3" w:themeFill="accent6" w:themeFillTint="66"/>
          </w:tcPr>
          <w:p w14:paraId="548EAB7A" w14:textId="48054616" w:rsidR="00554E19" w:rsidRPr="00F85092" w:rsidRDefault="00554E19">
            <w:pPr>
              <w:rPr>
                <w:color w:val="000000" w:themeColor="text1"/>
                <w:lang w:val="en-GB"/>
              </w:rPr>
            </w:pPr>
            <w:r w:rsidRPr="00F85092">
              <w:rPr>
                <w:color w:val="000000" w:themeColor="text1"/>
                <w:lang w:val="en-GB"/>
              </w:rPr>
              <w:t xml:space="preserve">Force Majeure </w:t>
            </w:r>
            <w:r w:rsidR="000F2BCA">
              <w:t>(Section 13 of Parental Leave Acts 1998 to 2019)</w:t>
            </w:r>
          </w:p>
        </w:tc>
        <w:tc>
          <w:tcPr>
            <w:tcW w:w="1913" w:type="dxa"/>
            <w:shd w:val="clear" w:color="auto" w:fill="C5E0B3" w:themeFill="accent6" w:themeFillTint="66"/>
          </w:tcPr>
          <w:p w14:paraId="568E9E6D" w14:textId="1B03A5BD" w:rsidR="00554E19" w:rsidRPr="00F85092" w:rsidRDefault="00554E19">
            <w:pPr>
              <w:rPr>
                <w:color w:val="000000" w:themeColor="text1"/>
                <w:lang w:val="en-GB"/>
              </w:rPr>
            </w:pPr>
            <w:r>
              <w:rPr>
                <w:color w:val="000000" w:themeColor="text1"/>
                <w:lang w:val="en-GB"/>
              </w:rPr>
              <w:t xml:space="preserve">Employees for urgent </w:t>
            </w:r>
            <w:r w:rsidR="00EB0CB7">
              <w:rPr>
                <w:color w:val="000000" w:themeColor="text1"/>
                <w:lang w:val="en-GB"/>
              </w:rPr>
              <w:t xml:space="preserve">unforeseen </w:t>
            </w:r>
            <w:r>
              <w:rPr>
                <w:color w:val="000000" w:themeColor="text1"/>
                <w:lang w:val="en-GB"/>
              </w:rPr>
              <w:t>family reasons</w:t>
            </w:r>
          </w:p>
        </w:tc>
        <w:tc>
          <w:tcPr>
            <w:tcW w:w="4824" w:type="dxa"/>
            <w:shd w:val="clear" w:color="auto" w:fill="C5E0B3" w:themeFill="accent6" w:themeFillTint="66"/>
          </w:tcPr>
          <w:p w14:paraId="18141A09" w14:textId="77777777" w:rsidR="00035261" w:rsidRPr="00490A50" w:rsidRDefault="00035261" w:rsidP="00035261">
            <w:pPr>
              <w:rPr>
                <w:b/>
                <w:bCs/>
                <w:color w:val="000000" w:themeColor="text1"/>
                <w:lang w:val="en-GB"/>
              </w:rPr>
            </w:pPr>
            <w:r w:rsidRPr="00F85092">
              <w:rPr>
                <w:color w:val="000000" w:themeColor="text1"/>
                <w:lang w:val="en-GB"/>
              </w:rPr>
              <w:t xml:space="preserve">Entitlement shall not exceed </w:t>
            </w:r>
            <w:r w:rsidRPr="00490A50">
              <w:rPr>
                <w:b/>
                <w:bCs/>
                <w:color w:val="000000" w:themeColor="text1"/>
                <w:lang w:val="en-GB"/>
              </w:rPr>
              <w:t>3 days in any consecutive 12-month period or 5 days in any consecutive 36-month period.</w:t>
            </w:r>
          </w:p>
          <w:p w14:paraId="751592A9" w14:textId="6439311C" w:rsidR="00035261" w:rsidRDefault="00554E19" w:rsidP="00035261">
            <w:pPr>
              <w:rPr>
                <w:color w:val="000000" w:themeColor="text1"/>
                <w:lang w:val="en-GB"/>
              </w:rPr>
            </w:pPr>
            <w:r w:rsidRPr="00A30C31">
              <w:rPr>
                <w:b/>
                <w:bCs/>
                <w:color w:val="000000" w:themeColor="text1"/>
                <w:lang w:val="en-GB"/>
              </w:rPr>
              <w:lastRenderedPageBreak/>
              <w:t>Leave with pay</w:t>
            </w:r>
            <w:r w:rsidRPr="00F85092">
              <w:rPr>
                <w:color w:val="000000" w:themeColor="text1"/>
                <w:lang w:val="en-GB"/>
              </w:rPr>
              <w:t xml:space="preserve"> for </w:t>
            </w:r>
            <w:r w:rsidRPr="00A30C31">
              <w:rPr>
                <w:b/>
                <w:bCs/>
                <w:color w:val="000000" w:themeColor="text1"/>
                <w:lang w:val="en-GB"/>
              </w:rPr>
              <w:t xml:space="preserve">urgent </w:t>
            </w:r>
            <w:r w:rsidR="002A024D" w:rsidRPr="00A30C31">
              <w:rPr>
                <w:b/>
                <w:bCs/>
                <w:color w:val="000000" w:themeColor="text1"/>
                <w:lang w:val="en-GB"/>
              </w:rPr>
              <w:t>unfor</w:t>
            </w:r>
            <w:r w:rsidR="00D10187" w:rsidRPr="00A30C31">
              <w:rPr>
                <w:b/>
                <w:bCs/>
                <w:color w:val="000000" w:themeColor="text1"/>
                <w:lang w:val="en-GB"/>
              </w:rPr>
              <w:t>e</w:t>
            </w:r>
            <w:r w:rsidR="002A024D" w:rsidRPr="00A30C31">
              <w:rPr>
                <w:b/>
                <w:bCs/>
                <w:color w:val="000000" w:themeColor="text1"/>
                <w:lang w:val="en-GB"/>
              </w:rPr>
              <w:t xml:space="preserve">seen </w:t>
            </w:r>
            <w:r w:rsidRPr="00A30C31">
              <w:rPr>
                <w:b/>
                <w:bCs/>
                <w:color w:val="000000" w:themeColor="text1"/>
                <w:lang w:val="en-GB"/>
              </w:rPr>
              <w:t>family</w:t>
            </w:r>
            <w:r w:rsidRPr="00F85092">
              <w:rPr>
                <w:color w:val="000000" w:themeColor="text1"/>
                <w:lang w:val="en-GB"/>
              </w:rPr>
              <w:t xml:space="preserve"> reasons owing to the injury or illness of a </w:t>
            </w:r>
            <w:r w:rsidR="000F509D">
              <w:rPr>
                <w:color w:val="000000" w:themeColor="text1"/>
                <w:lang w:val="en-GB"/>
              </w:rPr>
              <w:t>‘</w:t>
            </w:r>
            <w:r w:rsidRPr="00F85092">
              <w:rPr>
                <w:color w:val="000000" w:themeColor="text1"/>
                <w:lang w:val="en-GB"/>
              </w:rPr>
              <w:t>relevant person</w:t>
            </w:r>
            <w:r w:rsidR="000F509D">
              <w:rPr>
                <w:color w:val="000000" w:themeColor="text1"/>
                <w:lang w:val="en-GB"/>
              </w:rPr>
              <w:t>’</w:t>
            </w:r>
            <w:r w:rsidRPr="00F85092">
              <w:rPr>
                <w:color w:val="000000" w:themeColor="text1"/>
                <w:lang w:val="en-GB"/>
              </w:rPr>
              <w:t xml:space="preserve">. </w:t>
            </w:r>
          </w:p>
          <w:p w14:paraId="45B8F0B2" w14:textId="77777777" w:rsidR="00554E19" w:rsidRDefault="00554E19" w:rsidP="00035261">
            <w:pPr>
              <w:rPr>
                <w:color w:val="000000" w:themeColor="text1"/>
                <w:lang w:val="en-GB"/>
              </w:rPr>
            </w:pPr>
            <w:r>
              <w:rPr>
                <w:color w:val="000000" w:themeColor="text1"/>
                <w:lang w:val="en-GB"/>
              </w:rPr>
              <w:t>No minimum service required.</w:t>
            </w:r>
          </w:p>
          <w:p w14:paraId="00554DAD" w14:textId="40FAE155" w:rsidR="007F36D6" w:rsidRPr="00F85092" w:rsidRDefault="007F36D6" w:rsidP="00035261">
            <w:pPr>
              <w:rPr>
                <w:color w:val="000000" w:themeColor="text1"/>
                <w:lang w:val="en-GB"/>
              </w:rPr>
            </w:pPr>
            <w:r>
              <w:rPr>
                <w:color w:val="000000" w:themeColor="text1"/>
                <w:lang w:val="en-GB"/>
              </w:rPr>
              <w:t>No notice required – the employee, however, must confirm</w:t>
            </w:r>
            <w:r w:rsidR="00703FE4">
              <w:rPr>
                <w:color w:val="000000" w:themeColor="text1"/>
                <w:lang w:val="en-GB"/>
              </w:rPr>
              <w:t xml:space="preserve"> that leave has been taken upon return.</w:t>
            </w:r>
          </w:p>
        </w:tc>
      </w:tr>
      <w:tr w:rsidR="00554E19" w14:paraId="13BF61AC" w14:textId="77777777" w:rsidTr="00920A50">
        <w:trPr>
          <w:trHeight w:val="1373"/>
        </w:trPr>
        <w:tc>
          <w:tcPr>
            <w:tcW w:w="2330" w:type="dxa"/>
            <w:shd w:val="clear" w:color="auto" w:fill="F8F8D4"/>
          </w:tcPr>
          <w:p w14:paraId="4001ADAF" w14:textId="772FD46B" w:rsidR="00554E19" w:rsidRPr="00D654D5" w:rsidRDefault="00554E19">
            <w:pPr>
              <w:rPr>
                <w:color w:val="000000" w:themeColor="text1"/>
                <w:lang w:val="en-GB"/>
              </w:rPr>
            </w:pPr>
            <w:r w:rsidRPr="00D654D5">
              <w:rPr>
                <w:color w:val="000000" w:themeColor="text1"/>
                <w:lang w:val="en-GB"/>
              </w:rPr>
              <w:lastRenderedPageBreak/>
              <w:t>Carer’s Leave Act 2001</w:t>
            </w:r>
          </w:p>
        </w:tc>
        <w:tc>
          <w:tcPr>
            <w:tcW w:w="1913" w:type="dxa"/>
            <w:shd w:val="clear" w:color="auto" w:fill="F8F8D4"/>
          </w:tcPr>
          <w:p w14:paraId="7059ACEE" w14:textId="5FF97C05" w:rsidR="00554E19" w:rsidRPr="00D654D5" w:rsidRDefault="00554E19">
            <w:pPr>
              <w:rPr>
                <w:color w:val="000000" w:themeColor="text1"/>
                <w:lang w:val="en-GB"/>
              </w:rPr>
            </w:pPr>
            <w:r w:rsidRPr="00D654D5">
              <w:rPr>
                <w:color w:val="000000" w:themeColor="text1"/>
                <w:lang w:val="en-GB"/>
              </w:rPr>
              <w:t xml:space="preserve">Employees </w:t>
            </w:r>
            <w:proofErr w:type="gramStart"/>
            <w:r w:rsidRPr="00D654D5">
              <w:rPr>
                <w:color w:val="000000" w:themeColor="text1"/>
                <w:lang w:val="en-GB"/>
              </w:rPr>
              <w:t>in order to</w:t>
            </w:r>
            <w:proofErr w:type="gramEnd"/>
            <w:r w:rsidRPr="00D654D5">
              <w:rPr>
                <w:color w:val="000000" w:themeColor="text1"/>
                <w:lang w:val="en-GB"/>
              </w:rPr>
              <w:t xml:space="preserve"> provide full time care to a relevant person</w:t>
            </w:r>
          </w:p>
        </w:tc>
        <w:tc>
          <w:tcPr>
            <w:tcW w:w="4824" w:type="dxa"/>
            <w:shd w:val="clear" w:color="auto" w:fill="F8F8D4"/>
          </w:tcPr>
          <w:p w14:paraId="24991D9E" w14:textId="5F7DF9DA" w:rsidR="00554E19" w:rsidRPr="00D654D5" w:rsidRDefault="00554E19" w:rsidP="00356A2E">
            <w:pPr>
              <w:shd w:val="clear" w:color="auto" w:fill="FAFDD3"/>
              <w:rPr>
                <w:color w:val="000000" w:themeColor="text1"/>
                <w:shd w:val="clear" w:color="auto" w:fill="D2F9FE"/>
                <w:lang w:val="en-GB"/>
              </w:rPr>
            </w:pPr>
            <w:r w:rsidRPr="00D654D5">
              <w:rPr>
                <w:b/>
                <w:bCs/>
                <w:color w:val="000000" w:themeColor="text1"/>
                <w:lang w:val="en-GB"/>
              </w:rPr>
              <w:t>104 weeks</w:t>
            </w:r>
            <w:r w:rsidRPr="00D654D5">
              <w:rPr>
                <w:color w:val="000000" w:themeColor="text1"/>
                <w:lang w:val="en-GB"/>
              </w:rPr>
              <w:t xml:space="preserve"> leave</w:t>
            </w:r>
            <w:r w:rsidRPr="00D654D5">
              <w:rPr>
                <w:color w:val="000000" w:themeColor="text1"/>
                <w:shd w:val="clear" w:color="auto" w:fill="F8F8D4"/>
                <w:lang w:val="en-GB"/>
              </w:rPr>
              <w:t>. The leave can be broken into shorter periods not exceeding 104 weeks</w:t>
            </w:r>
            <w:r w:rsidR="005D2B1F" w:rsidRPr="00D654D5">
              <w:rPr>
                <w:color w:val="000000" w:themeColor="text1"/>
                <w:shd w:val="clear" w:color="auto" w:fill="F8F8D4"/>
                <w:lang w:val="en-GB"/>
              </w:rPr>
              <w:t>.</w:t>
            </w:r>
          </w:p>
          <w:p w14:paraId="19BA01D2" w14:textId="05DB1E4B" w:rsidR="00435529" w:rsidRPr="00D654D5" w:rsidRDefault="00554E19" w:rsidP="00356A2E">
            <w:pPr>
              <w:shd w:val="clear" w:color="auto" w:fill="FAFDD3"/>
              <w:rPr>
                <w:color w:val="000000" w:themeColor="text1"/>
                <w:lang w:val="en-GB"/>
              </w:rPr>
            </w:pPr>
            <w:r w:rsidRPr="00D654D5">
              <w:rPr>
                <w:color w:val="000000" w:themeColor="text1"/>
                <w:lang w:val="en-GB"/>
              </w:rPr>
              <w:t>Leave is subject to the approval of the Department Social Protection.</w:t>
            </w:r>
          </w:p>
          <w:p w14:paraId="4EBE4919" w14:textId="31D559C4" w:rsidR="00435529" w:rsidRPr="00D654D5" w:rsidRDefault="00435529" w:rsidP="00356A2E">
            <w:pPr>
              <w:shd w:val="clear" w:color="auto" w:fill="FAFDD3"/>
              <w:rPr>
                <w:color w:val="000000" w:themeColor="text1"/>
                <w:lang w:val="en-GB"/>
              </w:rPr>
            </w:pPr>
            <w:r w:rsidRPr="00D654D5">
              <w:t>An application must be made to the Department of Social Protection. Confirmation document must be signed at least 2 weeks before the commencement of the leave.</w:t>
            </w:r>
          </w:p>
          <w:p w14:paraId="3FD1ACEA" w14:textId="011B7E3C" w:rsidR="00554E19" w:rsidRPr="00D654D5" w:rsidRDefault="00554E19">
            <w:pPr>
              <w:rPr>
                <w:color w:val="000000" w:themeColor="text1"/>
                <w:lang w:val="en-GB"/>
              </w:rPr>
            </w:pPr>
            <w:r w:rsidRPr="00D654D5">
              <w:rPr>
                <w:color w:val="000000" w:themeColor="text1"/>
                <w:lang w:val="en-GB"/>
              </w:rPr>
              <w:t>Carer’s Benefit subject to PRSI contributions.</w:t>
            </w:r>
          </w:p>
          <w:p w14:paraId="1B70E7F5" w14:textId="2A5B885C" w:rsidR="00554E19" w:rsidRPr="00D654D5" w:rsidRDefault="00554E19">
            <w:pPr>
              <w:rPr>
                <w:color w:val="000000" w:themeColor="text1"/>
                <w:lang w:val="en-GB"/>
              </w:rPr>
            </w:pPr>
            <w:r w:rsidRPr="00D654D5">
              <w:rPr>
                <w:color w:val="000000" w:themeColor="text1"/>
                <w:lang w:val="en-GB"/>
              </w:rPr>
              <w:t>12 months continuous service required.</w:t>
            </w:r>
          </w:p>
        </w:tc>
      </w:tr>
      <w:tr w:rsidR="00B27FF1" w14:paraId="00A52B77" w14:textId="77777777" w:rsidTr="0095323E">
        <w:trPr>
          <w:trHeight w:val="1373"/>
        </w:trPr>
        <w:tc>
          <w:tcPr>
            <w:tcW w:w="2330" w:type="dxa"/>
            <w:shd w:val="clear" w:color="auto" w:fill="F8F8D4"/>
          </w:tcPr>
          <w:p w14:paraId="37D8CC04" w14:textId="04A2C5EB" w:rsidR="00B27FF1" w:rsidRPr="006E049C" w:rsidRDefault="00B27FF1" w:rsidP="00B27FF1">
            <w:pPr>
              <w:rPr>
                <w:color w:val="2F5496" w:themeColor="accent1" w:themeShade="BF"/>
                <w:lang w:val="en-GB"/>
              </w:rPr>
            </w:pPr>
            <w:r w:rsidRPr="006E049C">
              <w:rPr>
                <w:color w:val="2F5496" w:themeColor="accent1" w:themeShade="BF"/>
                <w:lang w:val="en-GB"/>
              </w:rPr>
              <w:t>Medical care Leave</w:t>
            </w:r>
          </w:p>
        </w:tc>
        <w:tc>
          <w:tcPr>
            <w:tcW w:w="1913" w:type="dxa"/>
            <w:shd w:val="clear" w:color="auto" w:fill="F8F8D4"/>
          </w:tcPr>
          <w:p w14:paraId="13178747" w14:textId="6D6E4B97" w:rsidR="00B27FF1" w:rsidRPr="006E049C" w:rsidRDefault="00B27FF1" w:rsidP="00B27FF1">
            <w:pPr>
              <w:rPr>
                <w:color w:val="2F5496" w:themeColor="accent1" w:themeShade="BF"/>
                <w:lang w:val="en-GB"/>
              </w:rPr>
            </w:pPr>
            <w:r w:rsidRPr="006E049C">
              <w:rPr>
                <w:color w:val="2F5496" w:themeColor="accent1" w:themeShade="BF"/>
                <w:lang w:val="en-GB"/>
              </w:rPr>
              <w:t>Leave to provide significant personal care and support to certain specified persons (child, spouse/civil partner, cohabitant, parent, grandparent, brother or sister or a person residing in the same household)</w:t>
            </w:r>
          </w:p>
        </w:tc>
        <w:tc>
          <w:tcPr>
            <w:tcW w:w="4824" w:type="dxa"/>
            <w:shd w:val="clear" w:color="auto" w:fill="F8F8D4"/>
          </w:tcPr>
          <w:p w14:paraId="08AD6FC2" w14:textId="5C652CFD" w:rsidR="00B27FF1" w:rsidRPr="006E049C" w:rsidRDefault="00F01B99" w:rsidP="00B27FF1">
            <w:pPr>
              <w:shd w:val="clear" w:color="auto" w:fill="FAFDD3"/>
              <w:rPr>
                <w:color w:val="2F5496" w:themeColor="accent1" w:themeShade="BF"/>
                <w:lang w:val="en-GB"/>
              </w:rPr>
            </w:pPr>
            <w:r w:rsidRPr="006E049C">
              <w:rPr>
                <w:b/>
                <w:bCs/>
                <w:color w:val="2F5496" w:themeColor="accent1" w:themeShade="BF"/>
                <w:lang w:val="en-GB"/>
              </w:rPr>
              <w:t>5 days unpaid</w:t>
            </w:r>
            <w:r w:rsidRPr="006E049C">
              <w:rPr>
                <w:color w:val="2F5496" w:themeColor="accent1" w:themeShade="BF"/>
                <w:lang w:val="en-GB"/>
              </w:rPr>
              <w:t xml:space="preserve"> leave in any</w:t>
            </w:r>
            <w:r w:rsidR="00E8398F" w:rsidRPr="006E049C">
              <w:rPr>
                <w:color w:val="2F5496" w:themeColor="accent1" w:themeShade="BF"/>
                <w:lang w:val="en-GB"/>
              </w:rPr>
              <w:t xml:space="preserve"> period of</w:t>
            </w:r>
            <w:r w:rsidRPr="006E049C">
              <w:rPr>
                <w:color w:val="2F5496" w:themeColor="accent1" w:themeShade="BF"/>
                <w:lang w:val="en-GB"/>
              </w:rPr>
              <w:t xml:space="preserve"> 12</w:t>
            </w:r>
            <w:r w:rsidR="00A93868" w:rsidRPr="006E049C">
              <w:rPr>
                <w:color w:val="2F5496" w:themeColor="accent1" w:themeShade="BF"/>
                <w:lang w:val="en-GB"/>
              </w:rPr>
              <w:t xml:space="preserve"> consecutive months. Can be taken in single or multiple days. No state benefit available</w:t>
            </w:r>
            <w:r w:rsidR="00E8398F" w:rsidRPr="006E049C">
              <w:rPr>
                <w:color w:val="2F5496" w:themeColor="accent1" w:themeShade="BF"/>
                <w:lang w:val="en-GB"/>
              </w:rPr>
              <w:t>.</w:t>
            </w:r>
          </w:p>
        </w:tc>
      </w:tr>
    </w:tbl>
    <w:p w14:paraId="0F2E2A97" w14:textId="77777777" w:rsidR="00D170A5" w:rsidRDefault="00D170A5">
      <w:pPr>
        <w:rPr>
          <w:b/>
          <w:bCs/>
          <w:sz w:val="28"/>
          <w:szCs w:val="28"/>
          <w:lang w:val="en-GB"/>
        </w:rPr>
      </w:pPr>
    </w:p>
    <w:p w14:paraId="6F7FEB65" w14:textId="3381A1EF" w:rsidR="008D3F18" w:rsidRPr="000C3532" w:rsidRDefault="000C3532">
      <w:pPr>
        <w:rPr>
          <w:b/>
          <w:bCs/>
          <w:sz w:val="28"/>
          <w:szCs w:val="28"/>
          <w:lang w:val="en-GB"/>
        </w:rPr>
      </w:pPr>
      <w:r w:rsidRPr="000C3532">
        <w:rPr>
          <w:b/>
          <w:bCs/>
          <w:sz w:val="28"/>
          <w:szCs w:val="28"/>
          <w:lang w:val="en-GB"/>
        </w:rPr>
        <w:t>Jury Service Leave</w:t>
      </w:r>
    </w:p>
    <w:tbl>
      <w:tblPr>
        <w:tblStyle w:val="TableGrid"/>
        <w:tblW w:w="0" w:type="auto"/>
        <w:tblLook w:val="04A0" w:firstRow="1" w:lastRow="0" w:firstColumn="1" w:lastColumn="0" w:noHBand="0" w:noVBand="1"/>
      </w:tblPr>
      <w:tblGrid>
        <w:gridCol w:w="2689"/>
        <w:gridCol w:w="6327"/>
      </w:tblGrid>
      <w:tr w:rsidR="00372E58" w14:paraId="068111D6" w14:textId="77777777" w:rsidTr="00356A2E">
        <w:tc>
          <w:tcPr>
            <w:tcW w:w="2689" w:type="dxa"/>
            <w:shd w:val="clear" w:color="auto" w:fill="FFC000" w:themeFill="accent4"/>
          </w:tcPr>
          <w:p w14:paraId="277D9B3A" w14:textId="2096F814" w:rsidR="00372E58" w:rsidRPr="000C3532" w:rsidRDefault="00072449">
            <w:pPr>
              <w:rPr>
                <w:b/>
                <w:bCs/>
                <w:lang w:val="en-GB"/>
              </w:rPr>
            </w:pPr>
            <w:r w:rsidRPr="000C3532">
              <w:rPr>
                <w:b/>
                <w:bCs/>
                <w:lang w:val="en-GB"/>
              </w:rPr>
              <w:t>Jury Service Leave</w:t>
            </w:r>
          </w:p>
        </w:tc>
        <w:tc>
          <w:tcPr>
            <w:tcW w:w="6327" w:type="dxa"/>
            <w:shd w:val="clear" w:color="auto" w:fill="FFC000" w:themeFill="accent4"/>
          </w:tcPr>
          <w:p w14:paraId="691A89F9" w14:textId="6D5C4151" w:rsidR="00372E58" w:rsidRDefault="001A2BF9">
            <w:pPr>
              <w:rPr>
                <w:lang w:val="en-GB"/>
              </w:rPr>
            </w:pPr>
            <w:r>
              <w:rPr>
                <w:lang w:val="en-GB"/>
              </w:rPr>
              <w:t xml:space="preserve">Section 29 of the Juries Act 1976 provides that a person in employment </w:t>
            </w:r>
            <w:r w:rsidR="00220269">
              <w:rPr>
                <w:lang w:val="en-GB"/>
              </w:rPr>
              <w:t>under a contract of employment (full-time, part-time, temporary) is required to be released from work</w:t>
            </w:r>
            <w:r w:rsidR="00471CB2">
              <w:rPr>
                <w:lang w:val="en-GB"/>
              </w:rPr>
              <w:t xml:space="preserve"> for the purpose of jury service.</w:t>
            </w:r>
          </w:p>
          <w:p w14:paraId="47A9AD2E" w14:textId="6DD70577" w:rsidR="00072449" w:rsidRDefault="00471CB2">
            <w:pPr>
              <w:rPr>
                <w:lang w:val="en-GB"/>
              </w:rPr>
            </w:pPr>
            <w:r>
              <w:rPr>
                <w:lang w:val="en-GB"/>
              </w:rPr>
              <w:t>A summons for Jury Service may cover a period of 4 days to 2 weeks</w:t>
            </w:r>
            <w:r w:rsidR="000C3532">
              <w:rPr>
                <w:lang w:val="en-GB"/>
              </w:rPr>
              <w:t>, depending on the Court in question.</w:t>
            </w:r>
          </w:p>
          <w:p w14:paraId="18B8D99D" w14:textId="3A2C118A" w:rsidR="00072449" w:rsidRDefault="00072449">
            <w:pPr>
              <w:rPr>
                <w:lang w:val="en-GB"/>
              </w:rPr>
            </w:pPr>
          </w:p>
        </w:tc>
      </w:tr>
    </w:tbl>
    <w:p w14:paraId="25588767" w14:textId="062F5CFD" w:rsidR="00592F43" w:rsidRDefault="00592F43">
      <w:pPr>
        <w:rPr>
          <w:lang w:val="en-GB"/>
        </w:rPr>
      </w:pPr>
    </w:p>
    <w:p w14:paraId="52E58B8F" w14:textId="77E1191B" w:rsidR="00D170A5" w:rsidRDefault="00D170A5" w:rsidP="72B07DA2">
      <w:pPr>
        <w:rPr>
          <w:i/>
          <w:iCs/>
          <w:lang w:val="en-GB"/>
        </w:rPr>
      </w:pPr>
      <w:r w:rsidRPr="72B07DA2">
        <w:rPr>
          <w:i/>
          <w:iCs/>
          <w:lang w:val="en-GB"/>
        </w:rPr>
        <w:t>This document is a general guide only to the main provisions of specific pieces of legislation governing statutory family leave.</w:t>
      </w:r>
    </w:p>
    <w:p w14:paraId="65BB9509" w14:textId="4357A714" w:rsidR="00D170A5" w:rsidRPr="00356A2E" w:rsidRDefault="00E12807">
      <w:pPr>
        <w:rPr>
          <w:b/>
          <w:bCs/>
          <w:color w:val="C00000"/>
          <w:sz w:val="28"/>
          <w:szCs w:val="28"/>
          <w:lang w:val="en-GB"/>
        </w:rPr>
      </w:pPr>
      <w:r w:rsidRPr="00356A2E">
        <w:rPr>
          <w:b/>
          <w:bCs/>
          <w:color w:val="C00000"/>
          <w:sz w:val="28"/>
          <w:szCs w:val="28"/>
          <w:lang w:val="en-GB"/>
        </w:rPr>
        <w:t>Updated August 2023</w:t>
      </w:r>
    </w:p>
    <w:p w14:paraId="620F0D35" w14:textId="77777777" w:rsidR="000C3532" w:rsidRPr="00592F43" w:rsidRDefault="000C3532">
      <w:pPr>
        <w:rPr>
          <w:lang w:val="en-GB"/>
        </w:rPr>
      </w:pPr>
    </w:p>
    <w:sectPr w:rsidR="000C3532" w:rsidRPr="00592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393B"/>
    <w:multiLevelType w:val="hybridMultilevel"/>
    <w:tmpl w:val="8E94584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F23505"/>
    <w:multiLevelType w:val="multilevel"/>
    <w:tmpl w:val="936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8044A"/>
    <w:multiLevelType w:val="hybridMultilevel"/>
    <w:tmpl w:val="7E5028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0703824">
    <w:abstractNumId w:val="2"/>
  </w:num>
  <w:num w:numId="2" w16cid:durableId="851530346">
    <w:abstractNumId w:val="0"/>
  </w:num>
  <w:num w:numId="3" w16cid:durableId="105003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43"/>
    <w:rsid w:val="00003019"/>
    <w:rsid w:val="000277A1"/>
    <w:rsid w:val="00035261"/>
    <w:rsid w:val="00072449"/>
    <w:rsid w:val="000C3532"/>
    <w:rsid w:val="000C42D1"/>
    <w:rsid w:val="000F2BCA"/>
    <w:rsid w:val="000F509D"/>
    <w:rsid w:val="00113CCD"/>
    <w:rsid w:val="00141BE8"/>
    <w:rsid w:val="00186511"/>
    <w:rsid w:val="001A2BF9"/>
    <w:rsid w:val="001A5694"/>
    <w:rsid w:val="001C1437"/>
    <w:rsid w:val="001D24EA"/>
    <w:rsid w:val="00220269"/>
    <w:rsid w:val="002263C7"/>
    <w:rsid w:val="002413F4"/>
    <w:rsid w:val="002517BB"/>
    <w:rsid w:val="002621D3"/>
    <w:rsid w:val="002716B6"/>
    <w:rsid w:val="00294F4F"/>
    <w:rsid w:val="002A024D"/>
    <w:rsid w:val="002C5858"/>
    <w:rsid w:val="002E143B"/>
    <w:rsid w:val="002F6CC8"/>
    <w:rsid w:val="003203E5"/>
    <w:rsid w:val="00333A94"/>
    <w:rsid w:val="003402B2"/>
    <w:rsid w:val="00353EDC"/>
    <w:rsid w:val="003559C9"/>
    <w:rsid w:val="00356A2E"/>
    <w:rsid w:val="00372E58"/>
    <w:rsid w:val="00395CD9"/>
    <w:rsid w:val="003F4C16"/>
    <w:rsid w:val="00403295"/>
    <w:rsid w:val="00425D92"/>
    <w:rsid w:val="00435529"/>
    <w:rsid w:val="00440854"/>
    <w:rsid w:val="00455035"/>
    <w:rsid w:val="00471CB2"/>
    <w:rsid w:val="00474C89"/>
    <w:rsid w:val="00490A50"/>
    <w:rsid w:val="004B61A6"/>
    <w:rsid w:val="004D068E"/>
    <w:rsid w:val="004D6244"/>
    <w:rsid w:val="004E7D90"/>
    <w:rsid w:val="00506A26"/>
    <w:rsid w:val="00511130"/>
    <w:rsid w:val="005467FA"/>
    <w:rsid w:val="00554E19"/>
    <w:rsid w:val="00572327"/>
    <w:rsid w:val="005823C6"/>
    <w:rsid w:val="00592F43"/>
    <w:rsid w:val="005B17E4"/>
    <w:rsid w:val="005D2B1F"/>
    <w:rsid w:val="005E5717"/>
    <w:rsid w:val="0064789C"/>
    <w:rsid w:val="00675C5C"/>
    <w:rsid w:val="006A311A"/>
    <w:rsid w:val="006C263A"/>
    <w:rsid w:val="006E049C"/>
    <w:rsid w:val="00700991"/>
    <w:rsid w:val="00703FE4"/>
    <w:rsid w:val="00763CCF"/>
    <w:rsid w:val="00791EC8"/>
    <w:rsid w:val="007C09B0"/>
    <w:rsid w:val="007C246C"/>
    <w:rsid w:val="007F36D6"/>
    <w:rsid w:val="0081021A"/>
    <w:rsid w:val="008910C3"/>
    <w:rsid w:val="00893431"/>
    <w:rsid w:val="00893495"/>
    <w:rsid w:val="00893C70"/>
    <w:rsid w:val="00895557"/>
    <w:rsid w:val="008975A6"/>
    <w:rsid w:val="008A39B5"/>
    <w:rsid w:val="008B39D2"/>
    <w:rsid w:val="008D3F18"/>
    <w:rsid w:val="00920A50"/>
    <w:rsid w:val="00942010"/>
    <w:rsid w:val="0095323E"/>
    <w:rsid w:val="00953355"/>
    <w:rsid w:val="009A73D9"/>
    <w:rsid w:val="009F0646"/>
    <w:rsid w:val="00A267FD"/>
    <w:rsid w:val="00A30C31"/>
    <w:rsid w:val="00A3365D"/>
    <w:rsid w:val="00A558F7"/>
    <w:rsid w:val="00A93868"/>
    <w:rsid w:val="00AA7749"/>
    <w:rsid w:val="00AB3864"/>
    <w:rsid w:val="00AE2FCC"/>
    <w:rsid w:val="00AE3915"/>
    <w:rsid w:val="00B27FF1"/>
    <w:rsid w:val="00B30C8A"/>
    <w:rsid w:val="00B52D52"/>
    <w:rsid w:val="00B667E6"/>
    <w:rsid w:val="00BA47B0"/>
    <w:rsid w:val="00BC5CC0"/>
    <w:rsid w:val="00BF22FB"/>
    <w:rsid w:val="00C56B6A"/>
    <w:rsid w:val="00C73AB9"/>
    <w:rsid w:val="00C96CEE"/>
    <w:rsid w:val="00C97052"/>
    <w:rsid w:val="00CE53B8"/>
    <w:rsid w:val="00CF11C3"/>
    <w:rsid w:val="00D071E0"/>
    <w:rsid w:val="00D10187"/>
    <w:rsid w:val="00D117E0"/>
    <w:rsid w:val="00D16B76"/>
    <w:rsid w:val="00D170A5"/>
    <w:rsid w:val="00D22D32"/>
    <w:rsid w:val="00D23B19"/>
    <w:rsid w:val="00D43277"/>
    <w:rsid w:val="00D654D5"/>
    <w:rsid w:val="00D66655"/>
    <w:rsid w:val="00DB7E6F"/>
    <w:rsid w:val="00DE3D85"/>
    <w:rsid w:val="00E0173B"/>
    <w:rsid w:val="00E12807"/>
    <w:rsid w:val="00E13CDB"/>
    <w:rsid w:val="00E446E1"/>
    <w:rsid w:val="00E60504"/>
    <w:rsid w:val="00E62AE2"/>
    <w:rsid w:val="00E7736E"/>
    <w:rsid w:val="00E8398F"/>
    <w:rsid w:val="00E92F3E"/>
    <w:rsid w:val="00EB0CB7"/>
    <w:rsid w:val="00EB7296"/>
    <w:rsid w:val="00ED1514"/>
    <w:rsid w:val="00ED781B"/>
    <w:rsid w:val="00EE4091"/>
    <w:rsid w:val="00EE69AA"/>
    <w:rsid w:val="00EF3576"/>
    <w:rsid w:val="00F01B99"/>
    <w:rsid w:val="00F10FB8"/>
    <w:rsid w:val="00F5405E"/>
    <w:rsid w:val="00F85092"/>
    <w:rsid w:val="00FE4157"/>
    <w:rsid w:val="00FE5379"/>
    <w:rsid w:val="043CA516"/>
    <w:rsid w:val="24DB3356"/>
    <w:rsid w:val="336C60FC"/>
    <w:rsid w:val="3FEFB9C7"/>
    <w:rsid w:val="4F2A84ED"/>
    <w:rsid w:val="5A875A6D"/>
    <w:rsid w:val="5C232ACE"/>
    <w:rsid w:val="5E6EF623"/>
    <w:rsid w:val="6FD81254"/>
    <w:rsid w:val="72B07D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7082"/>
  <w15:chartTrackingRefBased/>
  <w15:docId w15:val="{3AA81B23-4155-4110-A36F-2EC21924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43"/>
    <w:pPr>
      <w:ind w:left="720"/>
      <w:contextualSpacing/>
    </w:pPr>
  </w:style>
  <w:style w:type="table" w:styleId="TableGrid">
    <w:name w:val="Table Grid"/>
    <w:basedOn w:val="TableNormal"/>
    <w:uiPriority w:val="39"/>
    <w:rsid w:val="00AE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F3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20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10" ma:contentTypeDescription="Create a new document." ma:contentTypeScope="" ma:versionID="211ac98416c4c12a807bbf95b4551453">
  <xsd:schema xmlns:xsd="http://www.w3.org/2001/XMLSchema" xmlns:xs="http://www.w3.org/2001/XMLSchema" xmlns:p="http://schemas.microsoft.com/office/2006/metadata/properties" xmlns:ns2="be63c14a-31e0-4a4a-94d5-21cbc6654312" targetNamespace="http://schemas.microsoft.com/office/2006/metadata/properties" ma:root="true" ma:fieldsID="1c20adde536e01ffa1f06c17c1d2f6e9"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294B9-4464-47A1-B347-C0B8AFD1B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C301A-03C4-4368-B50C-F2A699633B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7133F-0D59-45FB-87E2-F4512E893F4E}">
  <ds:schemaRefs>
    <ds:schemaRef ds:uri="http://schemas.openxmlformats.org/officeDocument/2006/bibliography"/>
  </ds:schemaRefs>
</ds:datastoreItem>
</file>

<file path=customXml/itemProps4.xml><?xml version="1.0" encoding="utf-8"?>
<ds:datastoreItem xmlns:ds="http://schemas.openxmlformats.org/officeDocument/2006/customXml" ds:itemID="{3039C981-463D-4DD9-A0D9-1BD1354192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Dillon</dc:creator>
  <cp:keywords/>
  <dc:description/>
  <cp:lastModifiedBy>Ann Marie Dillon</cp:lastModifiedBy>
  <cp:revision>25</cp:revision>
  <cp:lastPrinted>2019-12-06T10:43:00Z</cp:lastPrinted>
  <dcterms:created xsi:type="dcterms:W3CDTF">2023-08-14T15:29:00Z</dcterms:created>
  <dcterms:modified xsi:type="dcterms:W3CDTF">2023-08-16T13:03:00Z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ies>
</file>